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CA" w:rsidRDefault="006044CA" w:rsidP="00B87C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76925" cy="1362075"/>
            <wp:effectExtent l="0" t="0" r="0" b="0"/>
            <wp:docPr id="1" name="Рисунок 1" descr="C:\Users\User\Downloads\Group 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Group 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CC6" w:rsidRPr="00B87CC6" w:rsidRDefault="00371029" w:rsidP="00B87C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0713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АМ’ЯТКА</w:t>
      </w:r>
      <w:r w:rsidR="00B87CC6" w:rsidRPr="000707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87CC6" w:rsidRPr="00B87CC6" w:rsidRDefault="00B87CC6" w:rsidP="00B87C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0F0B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обмеження щодо сумісництва та суміщення з іншими видами діяльності </w:t>
      </w:r>
    </w:p>
    <w:p w:rsidR="00070713" w:rsidRPr="005D590E" w:rsidRDefault="00070713" w:rsidP="00572781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 ст. 25 Закону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визначено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обмеження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щодо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сумісництва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суміщення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іншими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видами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діяльності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</w:t>
      </w:r>
      <w:proofErr w:type="spellStart"/>
      <w:proofErr w:type="gram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осіб</w:t>
      </w:r>
      <w:proofErr w:type="spellEnd"/>
      <w:proofErr w:type="gram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зазначених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 п. 1 ч. 1 ст. 3 Закону (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категорії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осіб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розділ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Методичних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рекомендацій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070713" w:rsidRPr="005D590E" w:rsidRDefault="00070713" w:rsidP="00572781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Особам,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уповноваженим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виконання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функцій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держави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місцевого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самоврядування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заборонено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займатися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іншою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оплачуваною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крім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викладацької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наукової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творчої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діяльності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медичної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практики,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інструкторської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суддівської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практики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спорту)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proofErr w:type="gram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ідприємницькою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діяльністю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якщо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інше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передбачено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Конституцією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законами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України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(п. 1 ч. 1 ст. 25 Закону).</w:t>
      </w:r>
    </w:p>
    <w:p w:rsidR="00070713" w:rsidRPr="005D590E" w:rsidRDefault="00070713" w:rsidP="00572781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Особа,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призначена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обрана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на посаду,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зазначену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п. 1 ч. 1 ст. 3 Закону,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зобов’язана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 </w:t>
      </w:r>
      <w:proofErr w:type="spellStart"/>
      <w:proofErr w:type="gram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proofErr w:type="gram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ізніше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15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робочих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днів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дня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призначення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обрання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на посаду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здійснити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дії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спрямовані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припинення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підприємницької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діяльності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У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зазначений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строк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особі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забороняється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здійснювати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підприємницьку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діяльність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отримувати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будь-які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доходи (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винагороду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тощо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у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зв’язку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із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здійсненням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proofErr w:type="gram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ідприємницької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діяльност</w:t>
      </w:r>
      <w:proofErr w:type="spellEnd"/>
      <w:r w:rsidR="001C32FE"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</w:t>
      </w:r>
    </w:p>
    <w:p w:rsidR="00DA3927" w:rsidRPr="00DA3927" w:rsidRDefault="00DA3927" w:rsidP="00572781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Формулювання «іншою оплачуваною діяльністю», вжите законодавцем у п. 1 ч. 1 ст. 25 Закону, означає, що для констатації порушення особою обмеження, встановленого цією нормою, необхідним є наявність всіх трьох компонентів.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Тобто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DA3927" w:rsidRPr="00DA3927" w:rsidRDefault="00DA3927" w:rsidP="00572781">
      <w:pPr>
        <w:numPr>
          <w:ilvl w:val="0"/>
          <w:numId w:val="4"/>
        </w:numPr>
        <w:pBdr>
          <w:bottom w:val="single" w:sz="6" w:space="0" w:color="D3D3D3"/>
        </w:pBd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здійснення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власне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діяльності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як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такої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виконання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певних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робіт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надання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послуг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тощо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), та/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або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зайняття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посади, яка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передбачає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здійснення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певної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діяльності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A3927" w:rsidRPr="00DA3927" w:rsidRDefault="00DA3927" w:rsidP="00572781">
      <w:pPr>
        <w:numPr>
          <w:ilvl w:val="0"/>
          <w:numId w:val="4"/>
        </w:numPr>
        <w:pBdr>
          <w:bottom w:val="single" w:sz="6" w:space="0" w:color="D3D3D3"/>
        </w:pBd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здійснення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іншої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ніж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основна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діяльності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виконання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інших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обов’язків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ніж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обов’язки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посадою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яка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відносить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особу до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суб’єкті</w:t>
      </w:r>
      <w:proofErr w:type="gram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proofErr w:type="spellEnd"/>
      <w:proofErr w:type="gram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на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яких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поширюється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таке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обмеження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). Не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є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іншою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діяльністю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контексті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ст. 25 Закону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виконання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особою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певної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роботи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яка </w:t>
      </w:r>
      <w:proofErr w:type="spellStart"/>
      <w:proofErr w:type="gram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пов’язана</w:t>
      </w:r>
      <w:proofErr w:type="spellEnd"/>
      <w:proofErr w:type="gram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із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зайняттям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нею посади,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зазначеної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п.1 ч. 1 ст. 3 Закону;</w:t>
      </w:r>
    </w:p>
    <w:p w:rsidR="00572781" w:rsidRPr="00572781" w:rsidRDefault="00DA3927" w:rsidP="00572781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оплатного характеру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іншої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діяльності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виконання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робіт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та/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або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надання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послуг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які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оплачуються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або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можуть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бути</w:t>
      </w:r>
      <w:proofErr w:type="gram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оплачені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майбутньому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DA3927" w:rsidRPr="00DA3927" w:rsidRDefault="00DA3927" w:rsidP="005727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Діяльність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вважається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оплачуваною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наявності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proofErr w:type="spellStart"/>
      <w:r w:rsidRPr="0057278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хоча</w:t>
      </w:r>
      <w:proofErr w:type="spellEnd"/>
      <w:r w:rsidRPr="0057278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б </w:t>
      </w:r>
      <w:proofErr w:type="spellStart"/>
      <w:r w:rsidRPr="00572781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однієї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таких умов:</w:t>
      </w:r>
    </w:p>
    <w:p w:rsidR="00DA3927" w:rsidRPr="00DA3927" w:rsidRDefault="00DA3927" w:rsidP="00572781">
      <w:pPr>
        <w:numPr>
          <w:ilvl w:val="0"/>
          <w:numId w:val="5"/>
        </w:numPr>
        <w:pBdr>
          <w:bottom w:val="single" w:sz="6" w:space="0" w:color="D3D3D3"/>
        </w:pBd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оплата (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можливість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оплати) за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таку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діяльність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передбачається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законодавством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та/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або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статутом та/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або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іншими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документами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юридичної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особи, у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якій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здійснюється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відповідна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діяльність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або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 </w:t>
      </w:r>
      <w:proofErr w:type="gram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трудовому</w:t>
      </w:r>
      <w:proofErr w:type="gram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договорі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контракті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),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цивільно-правовому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договорі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угоді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DA3927" w:rsidRPr="00DA3927" w:rsidRDefault="00DA3927" w:rsidP="00572781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особа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фактично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отримала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оплату за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таку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діяльність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(роботу, </w:t>
      </w:r>
      <w:proofErr w:type="spellStart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послугу</w:t>
      </w:r>
      <w:proofErr w:type="spellEnd"/>
      <w:r w:rsidRPr="00DA3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DA3927" w:rsidRPr="005D590E" w:rsidRDefault="00DA3927" w:rsidP="00572781">
      <w:pPr>
        <w:spacing w:before="100" w:beforeAutospacing="1" w:after="100" w:afterAutospacing="1" w:line="240" w:lineRule="auto"/>
        <w:ind w:firstLine="40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Викладацька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наукова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творча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діяльність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медична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практика,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інструкторська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суддівська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практика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зі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спорту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також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можуть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бути видами </w:t>
      </w:r>
      <w:proofErr w:type="spellStart"/>
      <w:proofErr w:type="gram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proofErr w:type="gram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ідприємницької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діяльності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Якщо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особа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займається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вищевказаними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видами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діяльності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як ФОП,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матиме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місце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порушення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заборони, </w:t>
      </w:r>
      <w:proofErr w:type="spellStart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>встановленої</w:t>
      </w:r>
      <w:proofErr w:type="spellEnd"/>
      <w:r w:rsidRPr="005D59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 п. 1 ч. 1 ст. 25 Закону.</w:t>
      </w:r>
    </w:p>
    <w:p w:rsidR="00E8728C" w:rsidRPr="00572781" w:rsidRDefault="00572781" w:rsidP="0057278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!!!</w:t>
      </w:r>
      <w:r w:rsidR="005D590E" w:rsidRPr="005727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="005D590E" w:rsidRPr="00572781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Особливості застосування обмежень щодо сумісництва та суміщення з іншими видами діяльності, передбачених Законом № 2381-ІХ, у період дії воєнного стану</w:t>
      </w:r>
    </w:p>
    <w:p w:rsidR="005D590E" w:rsidRPr="005D590E" w:rsidRDefault="005D590E" w:rsidP="00572781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Зокрема, Законом № 2381-ІХ</w:t>
      </w:r>
      <w:r w:rsidR="00572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від 03.08.2022 року</w:t>
      </w:r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доповнено</w:t>
      </w:r>
      <w:r w:rsidR="005727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розділ ХІІІ «Прикінцеві положення» Закону, у якому визначено, на кого з посадовців на період дії воєнного стану не поширюється обмеження щодо сумісництва та суміщення з іншими видами діяльності, встановлене п. 1 ч. 1 ст. 25 Закону, та за яких умов.</w:t>
      </w:r>
    </w:p>
    <w:p w:rsidR="005D590E" w:rsidRPr="005D590E" w:rsidRDefault="005D590E" w:rsidP="00572781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Особливості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застосування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обмежень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</w:t>
      </w:r>
      <w:proofErr w:type="gram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іод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дії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воєнного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стану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стосуються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лише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окремих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категорій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осіб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одночасного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дотримання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таких умов:</w:t>
      </w:r>
    </w:p>
    <w:p w:rsidR="005D590E" w:rsidRPr="005D590E" w:rsidRDefault="005D590E" w:rsidP="00572781">
      <w:pPr>
        <w:numPr>
          <w:ilvl w:val="0"/>
          <w:numId w:val="7"/>
        </w:numPr>
        <w:pBdr>
          <w:bottom w:val="single" w:sz="6" w:space="0" w:color="D3D3D3"/>
        </w:pBd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заборона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працювати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сумісництвом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та/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займатись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proofErr w:type="gram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ідприємництвом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поширюється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лише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державних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службовців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категорій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«Б» та «В» та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посадових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осіб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місцевого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самоврядування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посади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яких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віднесені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четвертої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сьомої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категорій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пп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9.6.1 п. 9.6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розділу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9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Методичних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рекомендацій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5D590E" w:rsidRPr="005D590E" w:rsidRDefault="005D590E" w:rsidP="00572781">
      <w:pPr>
        <w:numPr>
          <w:ilvl w:val="0"/>
          <w:numId w:val="7"/>
        </w:numPr>
        <w:pBdr>
          <w:bottom w:val="single" w:sz="6" w:space="0" w:color="D3D3D3"/>
        </w:pBd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вказані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особи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перебувають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proofErr w:type="gram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відпустці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без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збереження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заробітної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плати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простої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пп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9.6.3 п. 9.6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розділу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9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Методичних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рекомендацій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5D590E" w:rsidRPr="005D590E" w:rsidRDefault="005D590E" w:rsidP="00572781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дозволяється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отримувати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дохід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лише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від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юридичних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осіб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приватного права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фізичних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осіб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proofErr w:type="spellStart"/>
      <w:proofErr w:type="gram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proofErr w:type="gram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ідприємців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стосовно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яких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відповідні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державні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службовці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посадові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особи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місцевого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самоврядування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протягом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останнього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року не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здійснювали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повноваження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контролю,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нагляду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підготовки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чи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прийняття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відповідних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рішень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щодо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діяльності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юридичних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осіб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або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фізичних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осіб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proofErr w:type="spellStart"/>
      <w:proofErr w:type="gram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proofErr w:type="gram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ідприємців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пп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9.6.4 п. 9.6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розділу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Методичних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рекомендацій</w:t>
      </w:r>
      <w:proofErr w:type="spellEnd"/>
      <w:r w:rsidRPr="005D59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E8728C" w:rsidRDefault="00E8728C" w:rsidP="00B87CC6">
      <w:pPr>
        <w:spacing w:after="0"/>
        <w:jc w:val="both"/>
        <w:rPr>
          <w:lang w:val="uk-UA"/>
        </w:rPr>
      </w:pPr>
    </w:p>
    <w:p w:rsidR="00E8728C" w:rsidRPr="006044CA" w:rsidRDefault="00E8728C" w:rsidP="00E8728C">
      <w:pPr>
        <w:shd w:val="clear" w:color="auto" w:fill="FFFFFF"/>
        <w:jc w:val="both"/>
        <w:textAlignment w:val="baseline"/>
        <w:rPr>
          <w:rFonts w:ascii="Times New Roman" w:hAnsi="Times New Roman"/>
          <w:i/>
          <w:sz w:val="26"/>
          <w:szCs w:val="26"/>
          <w:lang w:val="uk-UA"/>
        </w:rPr>
      </w:pPr>
      <w:r w:rsidRPr="006044CA">
        <w:rPr>
          <w:rFonts w:ascii="Times New Roman" w:hAnsi="Times New Roman"/>
          <w:i/>
          <w:sz w:val="26"/>
          <w:szCs w:val="26"/>
          <w:lang w:val="uk-UA"/>
        </w:rPr>
        <w:t xml:space="preserve">Пам’ятка розроблена </w:t>
      </w:r>
      <w:r w:rsidRPr="006044CA">
        <w:rPr>
          <w:rFonts w:ascii="Times New Roman" w:hAnsi="Times New Roman"/>
          <w:i/>
          <w:iCs/>
          <w:color w:val="1D1D1B"/>
          <w:sz w:val="26"/>
          <w:szCs w:val="26"/>
          <w:bdr w:val="none" w:sz="0" w:space="0" w:color="auto" w:frame="1"/>
          <w:lang w:val="uk-UA" w:eastAsia="uk-UA"/>
        </w:rPr>
        <w:t>сектором з питань запобігання та виявлення корупц</w:t>
      </w:r>
      <w:r w:rsidR="006044CA">
        <w:rPr>
          <w:rFonts w:ascii="Times New Roman" w:hAnsi="Times New Roman"/>
          <w:i/>
          <w:iCs/>
          <w:color w:val="1D1D1B"/>
          <w:sz w:val="26"/>
          <w:szCs w:val="26"/>
          <w:bdr w:val="none" w:sz="0" w:space="0" w:color="auto" w:frame="1"/>
          <w:lang w:val="uk-UA" w:eastAsia="uk-UA"/>
        </w:rPr>
        <w:t xml:space="preserve">ії </w:t>
      </w:r>
      <w:proofErr w:type="spellStart"/>
      <w:r w:rsidR="006044CA">
        <w:rPr>
          <w:rFonts w:ascii="Times New Roman" w:hAnsi="Times New Roman"/>
          <w:i/>
          <w:iCs/>
          <w:color w:val="1D1D1B"/>
          <w:sz w:val="26"/>
          <w:szCs w:val="26"/>
          <w:bdr w:val="none" w:sz="0" w:space="0" w:color="auto" w:frame="1"/>
          <w:lang w:val="uk-UA" w:eastAsia="uk-UA"/>
        </w:rPr>
        <w:t>Стрийської</w:t>
      </w:r>
      <w:proofErr w:type="spellEnd"/>
      <w:r w:rsidR="006044CA">
        <w:rPr>
          <w:rFonts w:ascii="Times New Roman" w:hAnsi="Times New Roman"/>
          <w:i/>
          <w:iCs/>
          <w:color w:val="1D1D1B"/>
          <w:sz w:val="26"/>
          <w:szCs w:val="26"/>
          <w:bdr w:val="none" w:sz="0" w:space="0" w:color="auto" w:frame="1"/>
          <w:lang w:val="uk-UA" w:eastAsia="uk-UA"/>
        </w:rPr>
        <w:t xml:space="preserve"> районної державної (військової)</w:t>
      </w:r>
      <w:r w:rsidRPr="006044CA">
        <w:rPr>
          <w:rFonts w:ascii="Times New Roman" w:hAnsi="Times New Roman"/>
          <w:i/>
          <w:iCs/>
          <w:color w:val="1D1D1B"/>
          <w:sz w:val="26"/>
          <w:szCs w:val="26"/>
          <w:bdr w:val="none" w:sz="0" w:space="0" w:color="auto" w:frame="1"/>
          <w:lang w:val="uk-UA" w:eastAsia="uk-UA"/>
        </w:rPr>
        <w:t xml:space="preserve"> адміністрації</w:t>
      </w:r>
    </w:p>
    <w:p w:rsidR="00E8728C" w:rsidRPr="00E8728C" w:rsidRDefault="00E8728C" w:rsidP="00B87CC6">
      <w:pPr>
        <w:spacing w:after="0"/>
        <w:jc w:val="both"/>
        <w:rPr>
          <w:lang w:val="uk-UA"/>
        </w:rPr>
      </w:pPr>
    </w:p>
    <w:p w:rsidR="00E8728C" w:rsidRPr="00E8728C" w:rsidRDefault="00E8728C" w:rsidP="00B87CC6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sectPr w:rsidR="00E8728C" w:rsidRPr="00E8728C" w:rsidSect="0058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92D"/>
    <w:multiLevelType w:val="multilevel"/>
    <w:tmpl w:val="6224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74C4B"/>
    <w:multiLevelType w:val="multilevel"/>
    <w:tmpl w:val="2E1E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84D67"/>
    <w:multiLevelType w:val="hybridMultilevel"/>
    <w:tmpl w:val="6BF87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63090"/>
    <w:multiLevelType w:val="multilevel"/>
    <w:tmpl w:val="726A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AA43E6"/>
    <w:multiLevelType w:val="multilevel"/>
    <w:tmpl w:val="02FC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047C7E"/>
    <w:multiLevelType w:val="multilevel"/>
    <w:tmpl w:val="6FA4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CC6"/>
    <w:rsid w:val="00070713"/>
    <w:rsid w:val="000F0BAC"/>
    <w:rsid w:val="001C32FE"/>
    <w:rsid w:val="00371029"/>
    <w:rsid w:val="00572781"/>
    <w:rsid w:val="005824DB"/>
    <w:rsid w:val="005D590E"/>
    <w:rsid w:val="006044CA"/>
    <w:rsid w:val="007960C0"/>
    <w:rsid w:val="00827758"/>
    <w:rsid w:val="00830E29"/>
    <w:rsid w:val="008B5CC1"/>
    <w:rsid w:val="00901085"/>
    <w:rsid w:val="009469CB"/>
    <w:rsid w:val="00AD4287"/>
    <w:rsid w:val="00B87CC6"/>
    <w:rsid w:val="00D5484B"/>
    <w:rsid w:val="00DA3927"/>
    <w:rsid w:val="00DD5210"/>
    <w:rsid w:val="00E03A12"/>
    <w:rsid w:val="00E8728C"/>
    <w:rsid w:val="00F2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4C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7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A3927"/>
    <w:rPr>
      <w:i/>
      <w:iCs/>
    </w:rPr>
  </w:style>
  <w:style w:type="character" w:styleId="a8">
    <w:name w:val="Strong"/>
    <w:basedOn w:val="a0"/>
    <w:uiPriority w:val="22"/>
    <w:qFormat/>
    <w:rsid w:val="00DA39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2025-03-27T13:32:00Z</dcterms:created>
  <dcterms:modified xsi:type="dcterms:W3CDTF">2025-03-27T13:32:00Z</dcterms:modified>
</cp:coreProperties>
</file>